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63F9" w:rsidRPr="009763F9" w:rsidRDefault="00BD05BA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63F9"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="009763F9"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 adm_np@mail.ru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9763F9" w:rsidRPr="009763F9" w:rsidRDefault="009763F9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9763F9" w:rsidRPr="009763F9" w:rsidRDefault="009763F9" w:rsidP="009763F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68292A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 xml:space="preserve">поселка Нижняя Пойма </w:t>
      </w:r>
      <w:r w:rsidRPr="0068292A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11</w:t>
      </w:r>
      <w:r w:rsidRPr="0068292A">
        <w:rPr>
          <w:rFonts w:ascii="Times New Roman" w:hAnsi="Times New Roman"/>
          <w:color w:val="000000"/>
          <w:sz w:val="24"/>
          <w:szCs w:val="24"/>
        </w:rPr>
        <w:t>.0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6</w:t>
      </w:r>
      <w:r w:rsidRPr="0068292A">
        <w:rPr>
          <w:rFonts w:ascii="Times New Roman" w:hAnsi="Times New Roman"/>
          <w:color w:val="000000"/>
          <w:sz w:val="24"/>
          <w:szCs w:val="24"/>
        </w:rPr>
        <w:t>.202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4</w:t>
      </w:r>
      <w:r w:rsidRPr="0068292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87-</w:t>
      </w:r>
      <w:r w:rsidRPr="0068292A">
        <w:rPr>
          <w:rFonts w:ascii="Times New Roman" w:hAnsi="Times New Roman"/>
          <w:color w:val="000000"/>
          <w:sz w:val="24"/>
          <w:szCs w:val="24"/>
        </w:rPr>
        <w:t>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A65ACC" w:rsidRPr="007F7C80" w:rsidRDefault="00BD05BA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4FC8" w:rsidRPr="00594FC8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 w:rsidR="00B01326"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 w:rsidRPr="0068292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6829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68292A" w:rsidRPr="0068292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0:00 часов</w:t>
      </w:r>
      <w:r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68292A">
        <w:rPr>
          <w:rFonts w:ascii="Times New Roman" w:hAnsi="Times New Roman"/>
          <w:color w:val="000000" w:themeColor="text1"/>
          <w:sz w:val="24"/>
          <w:szCs w:val="24"/>
        </w:rPr>
        <w:t xml:space="preserve"> (0</w:t>
      </w:r>
      <w:r w:rsidR="00A620D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8292A">
        <w:rPr>
          <w:rFonts w:ascii="Times New Roman" w:hAnsi="Times New Roman"/>
          <w:color w:val="000000" w:themeColor="text1"/>
          <w:sz w:val="24"/>
          <w:szCs w:val="24"/>
        </w:rPr>
        <w:t>:00 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96DEA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938"/>
      </w:tblGrid>
      <w:tr w:rsidR="00A65ACC" w:rsidRPr="007F7C80" w:rsidTr="00FE604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5F" w:rsidRPr="0065525F" w:rsidRDefault="0065525F" w:rsidP="0065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25F">
              <w:rPr>
                <w:rFonts w:ascii="Times New Roman" w:hAnsi="Times New Roman"/>
                <w:sz w:val="24"/>
                <w:szCs w:val="24"/>
              </w:rPr>
              <w:t>Россия, Красноярский край, Нижнеингашский район,   п. Нижняя Пойма, ул. Западная, 9в;</w:t>
            </w:r>
            <w:proofErr w:type="gramEnd"/>
          </w:p>
          <w:p w:rsidR="009763F9" w:rsidRPr="00216AAA" w:rsidRDefault="009763F9" w:rsidP="00DF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65525F" w:rsidP="00BD0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5525F">
              <w:rPr>
                <w:rFonts w:ascii="Times New Roman" w:hAnsi="Times New Roman"/>
                <w:sz w:val="24"/>
                <w:szCs w:val="24"/>
              </w:rPr>
              <w:t>24:28:0000000:1064</w:t>
            </w:r>
            <w:bookmarkEnd w:id="0"/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65525F" w:rsidP="009763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9763F9" w:rsidRPr="007F7C80" w:rsidTr="00FE6047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="0065525F" w:rsidRPr="0065525F">
              <w:rPr>
                <w:rFonts w:ascii="Times New Roman" w:hAnsi="Times New Roman"/>
                <w:sz w:val="24"/>
                <w:szCs w:val="24"/>
              </w:rPr>
              <w:t>площадка для складирования пиломатериалов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F9" w:rsidRPr="007F7C80" w:rsidTr="00FE6047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F9" w:rsidRPr="00216AAA" w:rsidRDefault="009763F9" w:rsidP="00976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 xml:space="preserve">Начальный размер арендной платы в год, </w:t>
            </w:r>
            <w:r w:rsidRPr="007F7C80">
              <w:rPr>
                <w:bCs/>
                <w:color w:val="000000" w:themeColor="text1"/>
                <w:sz w:val="24"/>
              </w:rPr>
              <w:lastRenderedPageBreak/>
              <w:t>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65525F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2599,88</w:t>
            </w:r>
          </w:p>
        </w:tc>
      </w:tr>
      <w:tr w:rsidR="00A65ACC" w:rsidRPr="007F7C80" w:rsidTr="00FE6047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65525F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78,00</w:t>
            </w:r>
          </w:p>
        </w:tc>
      </w:tr>
      <w:tr w:rsidR="00A65AC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65525F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519,98</w:t>
            </w:r>
          </w:p>
        </w:tc>
      </w:tr>
      <w:tr w:rsidR="00F4480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C" w:rsidRPr="007F7C80" w:rsidRDefault="00F4480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C" w:rsidRPr="00741610" w:rsidRDefault="00F4480C" w:rsidP="00F4480C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F4480C" w:rsidRPr="00741610" w:rsidRDefault="00F4480C" w:rsidP="00F448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A65ACC" w:rsidRPr="007F7C80" w:rsidTr="00BD05BA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41610" w:rsidRDefault="00072A2A" w:rsidP="00BD05BA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65AC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="00F4480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CC" w:rsidRPr="00741610" w:rsidRDefault="00F4480C" w:rsidP="00F4480C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="00A65ACC"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 w:rsidR="00CD72E9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3" w:rsidRPr="00785573" w:rsidRDefault="00785573" w:rsidP="00785573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785573" w:rsidRPr="00785573" w:rsidRDefault="00785573" w:rsidP="00785573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A65ACC" w:rsidRPr="009C1177" w:rsidRDefault="00A65ACC" w:rsidP="007E6E9C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CD72E9" w:rsidRPr="007F7C80" w:rsidTr="00497594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7F7C80" w:rsidRDefault="00CD72E9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</w:t>
            </w:r>
            <w:r w:rsidR="00D669DD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9C1177" w:rsidRDefault="008B7250" w:rsidP="00497594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6F302B" w:rsidRPr="006F302B" w:rsidRDefault="008E7BB7" w:rsidP="006F30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741610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68292A" w:rsidRPr="006F302B" w:rsidRDefault="0068292A" w:rsidP="006829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lastRenderedPageBreak/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68292A" w:rsidRPr="00296DEA" w:rsidRDefault="006F302B" w:rsidP="0068292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68292A" w:rsidRPr="0068292A">
        <w:rPr>
          <w:rFonts w:ascii="Times New Roman" w:hAnsi="Times New Roman"/>
          <w:b/>
          <w:color w:val="000000" w:themeColor="text1"/>
          <w:sz w:val="24"/>
          <w:szCs w:val="24"/>
        </w:rPr>
        <w:t>13.06.2024 года в 09:00 часов</w:t>
      </w:r>
      <w:r w:rsidR="0068292A"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="0068292A"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68292A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</w:t>
      </w:r>
      <w:r w:rsidR="0068292A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20D1" w:rsidRPr="00296DEA" w:rsidRDefault="006F302B" w:rsidP="00A620D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.2024 года в 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:00 часов</w:t>
      </w:r>
      <w:r w:rsidR="00A620D1"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A620D1">
        <w:rPr>
          <w:rFonts w:ascii="Times New Roman" w:hAnsi="Times New Roman"/>
          <w:color w:val="000000" w:themeColor="text1"/>
          <w:sz w:val="24"/>
          <w:szCs w:val="24"/>
        </w:rPr>
        <w:t xml:space="preserve"> (13:00 время Московское)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20D1" w:rsidRPr="00296DEA" w:rsidRDefault="006F302B" w:rsidP="00A620D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.2024 года в 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:00 часов</w:t>
      </w:r>
      <w:r w:rsidR="00A620D1"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A620D1">
        <w:rPr>
          <w:rFonts w:ascii="Times New Roman" w:hAnsi="Times New Roman"/>
          <w:color w:val="000000" w:themeColor="text1"/>
          <w:sz w:val="24"/>
          <w:szCs w:val="24"/>
        </w:rPr>
        <w:t xml:space="preserve"> (06:00 время Московское)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292A" w:rsidRPr="006F302B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="0068292A" w:rsidRPr="00285318">
        <w:rPr>
          <w:rFonts w:ascii="Times New Roman" w:hAnsi="Times New Roman"/>
          <w:sz w:val="24"/>
          <w:szCs w:val="24"/>
        </w:rPr>
        <w:t>https:</w:t>
      </w:r>
      <w:r w:rsidR="0068292A">
        <w:rPr>
          <w:rFonts w:ascii="Times New Roman" w:hAnsi="Times New Roman"/>
          <w:sz w:val="24"/>
          <w:szCs w:val="24"/>
        </w:rPr>
        <w:t>//utp.sberbank-ast.ru/,</w:t>
      </w:r>
      <w:r w:rsidR="0068292A" w:rsidRPr="006F302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начиная со времени и даты начала приема заявок до времени и даты окончания приема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</w:t>
      </w:r>
      <w:r w:rsidR="006F302B" w:rsidRPr="006F302B">
        <w:rPr>
          <w:rFonts w:ascii="Times New Roman" w:hAnsi="Times New Roman"/>
          <w:sz w:val="24"/>
          <w:szCs w:val="24"/>
        </w:rPr>
        <w:t>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</w:t>
      </w:r>
      <w:r w:rsidRPr="006F302B">
        <w:rPr>
          <w:rFonts w:ascii="Times New Roman" w:hAnsi="Times New Roman"/>
          <w:sz w:val="24"/>
          <w:szCs w:val="24"/>
        </w:rPr>
        <w:lastRenderedPageBreak/>
        <w:t>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1817FC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proofErr w:type="gramStart"/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</w:t>
      </w:r>
      <w:proofErr w:type="gramEnd"/>
      <w:r w:rsidR="006F302B"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536A9E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B1" w:rsidRDefault="00365DB1" w:rsidP="0056480E">
      <w:pPr>
        <w:spacing w:after="0" w:line="240" w:lineRule="auto"/>
      </w:pPr>
      <w:r>
        <w:separator/>
      </w:r>
    </w:p>
  </w:endnote>
  <w:endnote w:type="continuationSeparator" w:id="0">
    <w:p w:rsidR="00365DB1" w:rsidRDefault="00365DB1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B1" w:rsidRDefault="00365DB1" w:rsidP="0056480E">
      <w:pPr>
        <w:spacing w:after="0" w:line="240" w:lineRule="auto"/>
      </w:pPr>
      <w:r>
        <w:separator/>
      </w:r>
    </w:p>
  </w:footnote>
  <w:footnote w:type="continuationSeparator" w:id="0">
    <w:p w:rsidR="00365DB1" w:rsidRDefault="00365DB1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618C1"/>
    <w:rsid w:val="0006546F"/>
    <w:rsid w:val="00072A2A"/>
    <w:rsid w:val="0008193F"/>
    <w:rsid w:val="000A1859"/>
    <w:rsid w:val="000D4F53"/>
    <w:rsid w:val="000E1CCB"/>
    <w:rsid w:val="00112182"/>
    <w:rsid w:val="00115C61"/>
    <w:rsid w:val="00181345"/>
    <w:rsid w:val="001817FC"/>
    <w:rsid w:val="001B0698"/>
    <w:rsid w:val="001C0B2C"/>
    <w:rsid w:val="0023149D"/>
    <w:rsid w:val="002619C2"/>
    <w:rsid w:val="0026616E"/>
    <w:rsid w:val="002702F7"/>
    <w:rsid w:val="00286DEE"/>
    <w:rsid w:val="00296DEA"/>
    <w:rsid w:val="002A2BCF"/>
    <w:rsid w:val="00300E0F"/>
    <w:rsid w:val="00313463"/>
    <w:rsid w:val="00317580"/>
    <w:rsid w:val="00333447"/>
    <w:rsid w:val="00336107"/>
    <w:rsid w:val="00336E94"/>
    <w:rsid w:val="00365DB1"/>
    <w:rsid w:val="00366989"/>
    <w:rsid w:val="00391308"/>
    <w:rsid w:val="003A12B5"/>
    <w:rsid w:val="003F1C89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594"/>
    <w:rsid w:val="004A14C1"/>
    <w:rsid w:val="004D55A0"/>
    <w:rsid w:val="00535341"/>
    <w:rsid w:val="00536A9E"/>
    <w:rsid w:val="005451CB"/>
    <w:rsid w:val="00550325"/>
    <w:rsid w:val="00557AE7"/>
    <w:rsid w:val="0056480E"/>
    <w:rsid w:val="005761D6"/>
    <w:rsid w:val="00594FC8"/>
    <w:rsid w:val="00596A80"/>
    <w:rsid w:val="00596F02"/>
    <w:rsid w:val="00597920"/>
    <w:rsid w:val="005C26B9"/>
    <w:rsid w:val="005D052D"/>
    <w:rsid w:val="00610D77"/>
    <w:rsid w:val="00617738"/>
    <w:rsid w:val="0062419D"/>
    <w:rsid w:val="00630B48"/>
    <w:rsid w:val="00653195"/>
    <w:rsid w:val="0065525F"/>
    <w:rsid w:val="006776FD"/>
    <w:rsid w:val="0068292A"/>
    <w:rsid w:val="006B6BDA"/>
    <w:rsid w:val="006C756D"/>
    <w:rsid w:val="006F302B"/>
    <w:rsid w:val="006F3FB9"/>
    <w:rsid w:val="007003BB"/>
    <w:rsid w:val="00713E8E"/>
    <w:rsid w:val="00716618"/>
    <w:rsid w:val="00741610"/>
    <w:rsid w:val="00764016"/>
    <w:rsid w:val="00785573"/>
    <w:rsid w:val="007D119A"/>
    <w:rsid w:val="007E4FE4"/>
    <w:rsid w:val="007E6E9C"/>
    <w:rsid w:val="007F7C80"/>
    <w:rsid w:val="00813D5F"/>
    <w:rsid w:val="0081552E"/>
    <w:rsid w:val="008231FD"/>
    <w:rsid w:val="00845F61"/>
    <w:rsid w:val="008561FC"/>
    <w:rsid w:val="00866DEF"/>
    <w:rsid w:val="008A0C28"/>
    <w:rsid w:val="008B7250"/>
    <w:rsid w:val="008D2ACE"/>
    <w:rsid w:val="008D3048"/>
    <w:rsid w:val="008E151B"/>
    <w:rsid w:val="008E7BB7"/>
    <w:rsid w:val="009204A2"/>
    <w:rsid w:val="00920E3B"/>
    <w:rsid w:val="00964761"/>
    <w:rsid w:val="009763F9"/>
    <w:rsid w:val="00984B46"/>
    <w:rsid w:val="009A4D2F"/>
    <w:rsid w:val="009C1177"/>
    <w:rsid w:val="009D795A"/>
    <w:rsid w:val="009E27EF"/>
    <w:rsid w:val="00A607ED"/>
    <w:rsid w:val="00A620D1"/>
    <w:rsid w:val="00A65ACC"/>
    <w:rsid w:val="00A822B9"/>
    <w:rsid w:val="00A87D5E"/>
    <w:rsid w:val="00A9073B"/>
    <w:rsid w:val="00A96BCA"/>
    <w:rsid w:val="00AD6326"/>
    <w:rsid w:val="00B01326"/>
    <w:rsid w:val="00B042F1"/>
    <w:rsid w:val="00B06EB5"/>
    <w:rsid w:val="00B1256C"/>
    <w:rsid w:val="00B24479"/>
    <w:rsid w:val="00B331BF"/>
    <w:rsid w:val="00B43120"/>
    <w:rsid w:val="00B714B3"/>
    <w:rsid w:val="00B917EF"/>
    <w:rsid w:val="00BC5F7F"/>
    <w:rsid w:val="00BC6230"/>
    <w:rsid w:val="00BD05BA"/>
    <w:rsid w:val="00BD0BD6"/>
    <w:rsid w:val="00BF00EE"/>
    <w:rsid w:val="00C02ACF"/>
    <w:rsid w:val="00C16158"/>
    <w:rsid w:val="00C24B6B"/>
    <w:rsid w:val="00C30548"/>
    <w:rsid w:val="00C3404C"/>
    <w:rsid w:val="00C61DA1"/>
    <w:rsid w:val="00C71DED"/>
    <w:rsid w:val="00C73D41"/>
    <w:rsid w:val="00C75881"/>
    <w:rsid w:val="00C843B3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C55"/>
    <w:rsid w:val="00DD0F52"/>
    <w:rsid w:val="00DD6FDD"/>
    <w:rsid w:val="00DE2DA2"/>
    <w:rsid w:val="00DF4E77"/>
    <w:rsid w:val="00E0757D"/>
    <w:rsid w:val="00E2361C"/>
    <w:rsid w:val="00E41956"/>
    <w:rsid w:val="00E57C7C"/>
    <w:rsid w:val="00E66EA5"/>
    <w:rsid w:val="00E73A13"/>
    <w:rsid w:val="00EA1FE8"/>
    <w:rsid w:val="00EB4872"/>
    <w:rsid w:val="00EC6482"/>
    <w:rsid w:val="00F055B9"/>
    <w:rsid w:val="00F167E0"/>
    <w:rsid w:val="00F4480C"/>
    <w:rsid w:val="00F453B5"/>
    <w:rsid w:val="00F51234"/>
    <w:rsid w:val="00F737FB"/>
    <w:rsid w:val="00F93577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B421-37B4-459C-A2AB-79693523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2</cp:revision>
  <cp:lastPrinted>2023-05-29T04:19:00Z</cp:lastPrinted>
  <dcterms:created xsi:type="dcterms:W3CDTF">2024-06-11T02:10:00Z</dcterms:created>
  <dcterms:modified xsi:type="dcterms:W3CDTF">2024-06-11T02:10:00Z</dcterms:modified>
</cp:coreProperties>
</file>